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6070973" cy="924465"/>
            <wp:effectExtent b="0" l="0" r="0" t="0"/>
            <wp:docPr descr="C:\Users\Mech_Hod\Desktop\Header.png" id="9" name="image1.png"/>
            <a:graphic>
              <a:graphicData uri="http://schemas.openxmlformats.org/drawingml/2006/picture">
                <pic:pic>
                  <pic:nvPicPr>
                    <pic:cNvPr descr="C:\Users\Mech_Hod\Desktop\Header.png" id="0" name="image1.png"/>
                    <pic:cNvPicPr preferRelativeResize="0"/>
                  </pic:nvPicPr>
                  <pic:blipFill>
                    <a:blip r:embed="rId7"/>
                    <a:srcRect b="0" l="0" r="0" t="0"/>
                    <a:stretch>
                      <a:fillRect/>
                    </a:stretch>
                  </pic:blipFill>
                  <pic:spPr>
                    <a:xfrm>
                      <a:off x="0" y="0"/>
                      <a:ext cx="6070973" cy="924465"/>
                    </a:xfrm>
                    <a:prstGeom prst="rect"/>
                    <a:ln/>
                  </pic:spPr>
                </pic:pic>
              </a:graphicData>
            </a:graphic>
          </wp:inline>
        </w:drawing>
      </w:r>
      <w:r w:rsidDel="00000000" w:rsidR="00000000" w:rsidRPr="00000000">
        <w:rPr>
          <w:rtl w:val="0"/>
        </w:rPr>
      </w:r>
    </w:p>
    <w:tbl>
      <w:tblPr>
        <w:tblStyle w:val="Table1"/>
        <w:tblW w:w="962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07"/>
        <w:gridCol w:w="3471"/>
        <w:gridCol w:w="2943"/>
        <w:tblGridChange w:id="0">
          <w:tblGrid>
            <w:gridCol w:w="3207"/>
            <w:gridCol w:w="3471"/>
            <w:gridCol w:w="2943"/>
          </w:tblGrid>
        </w:tblGridChange>
      </w:tblGrid>
      <w:tr>
        <w:trPr>
          <w:cantSplit w:val="0"/>
          <w:trHeight w:val="386" w:hRule="atLeast"/>
          <w:tblHeader w:val="0"/>
        </w:trPr>
        <w:tc>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AD-301</w:t>
            </w:r>
          </w:p>
        </w:tc>
        <w:tc>
          <w:tcPr>
            <w:vMerge w:val="restart"/>
          </w:tcPr>
          <w:p w:rsidR="00000000" w:rsidDel="00000000" w:rsidP="00000000" w:rsidRDefault="00000000" w:rsidRPr="00000000" w14:paraId="00000003">
            <w:pPr>
              <w:spacing w:after="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Activity Report</w:t>
            </w:r>
          </w:p>
          <w:p w:rsidR="00000000" w:rsidDel="00000000" w:rsidP="00000000" w:rsidRDefault="00000000" w:rsidRPr="00000000" w14:paraId="00000004">
            <w:pPr>
              <w:spacing w:after="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on Expert Lecture</w:t>
            </w:r>
          </w:p>
        </w:tc>
        <w:tc>
          <w:tcPr>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Academic Year: 2025-26</w:t>
            </w:r>
          </w:p>
        </w:tc>
      </w:tr>
      <w:tr>
        <w:trPr>
          <w:cantSplit w:val="0"/>
          <w:trHeight w:val="405" w:hRule="atLeast"/>
          <w:tblHeader w:val="0"/>
        </w:trPr>
        <w:tc>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Rev-00</w:t>
            </w:r>
          </w:p>
        </w:tc>
        <w:tc>
          <w:tcPr>
            <w:vMerge w:val="continue"/>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Semester: I </w:t>
            </w:r>
          </w:p>
        </w:tc>
      </w:tr>
    </w:tbl>
    <w:p w:rsidR="00000000" w:rsidDel="00000000" w:rsidP="00000000" w:rsidRDefault="00000000" w:rsidRPr="00000000" w14:paraId="0000000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DEPARTMENT OF CIVIL.ENGINEERING</w:t>
      </w:r>
    </w:p>
    <w:tbl>
      <w:tblPr>
        <w:tblStyle w:val="Table2"/>
        <w:tblW w:w="799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90"/>
        <w:gridCol w:w="4650"/>
        <w:gridCol w:w="255"/>
        <w:tblGridChange w:id="0">
          <w:tblGrid>
            <w:gridCol w:w="3090"/>
            <w:gridCol w:w="4650"/>
            <w:gridCol w:w="255"/>
          </w:tblGrid>
        </w:tblGridChange>
      </w:tblGrid>
      <w:tr>
        <w:trPr>
          <w:cantSplit w:val="0"/>
          <w:trHeight w:val="402" w:hRule="atLeast"/>
          <w:tblHeader w:val="0"/>
        </w:trPr>
        <w:tc>
          <w:tcPr/>
          <w:p w:rsidR="00000000" w:rsidDel="00000000" w:rsidP="00000000" w:rsidRDefault="00000000" w:rsidRPr="00000000" w14:paraId="0000000A">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Particulars</w:t>
            </w:r>
          </w:p>
        </w:tc>
        <w:tc>
          <w:tcPr/>
          <w:p w:rsidR="00000000" w:rsidDel="00000000" w:rsidP="00000000" w:rsidRDefault="00000000" w:rsidRPr="00000000" w14:paraId="0000000B">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Description</w:t>
            </w:r>
          </w:p>
        </w:tc>
      </w:tr>
      <w:tr>
        <w:trPr>
          <w:cantSplit w:val="0"/>
          <w:trHeight w:val="206" w:hRule="atLeast"/>
          <w:tblHeader w:val="0"/>
        </w:trPr>
        <w:tc>
          <w:tcPr/>
          <w:p w:rsidR="00000000" w:rsidDel="00000000" w:rsidP="00000000" w:rsidRDefault="00000000" w:rsidRPr="00000000" w14:paraId="0000000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Activity </w:t>
            </w:r>
          </w:p>
        </w:tc>
        <w:tc>
          <w:tcPr/>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 Lecture</w:t>
            </w:r>
          </w:p>
        </w:tc>
      </w:tr>
      <w:tr>
        <w:trPr>
          <w:cantSplit w:val="0"/>
          <w:trHeight w:val="402" w:hRule="atLeast"/>
          <w:tblHeader w:val="0"/>
        </w:trPr>
        <w:tc>
          <w:tcPr/>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Activity level</w:t>
            </w:r>
          </w:p>
        </w:tc>
        <w:tc>
          <w:tcPr/>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Departmental</w:t>
            </w:r>
          </w:p>
        </w:tc>
      </w:tr>
      <w:tr>
        <w:trPr>
          <w:cantSplit w:val="0"/>
          <w:trHeight w:val="329" w:hRule="atLeast"/>
          <w:tblHeader w:val="0"/>
        </w:trPr>
        <w:tc>
          <w:tcPr/>
          <w:p w:rsidR="00000000" w:rsidDel="00000000" w:rsidP="00000000" w:rsidRDefault="00000000" w:rsidRPr="00000000" w14:paraId="0000001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Title</w:t>
            </w:r>
          </w:p>
        </w:tc>
        <w:tc>
          <w:tcPr/>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 Lecture on </w:t>
            </w:r>
            <w:r w:rsidDel="00000000" w:rsidR="00000000" w:rsidRPr="00000000">
              <w:rPr>
                <w:rFonts w:ascii="Times New Roman" w:cs="Times New Roman" w:eastAsia="Times New Roman" w:hAnsi="Times New Roman"/>
                <w:b w:val="1"/>
                <w:bCs w:val="1"/>
                <w:sz w:val="24"/>
                <w:szCs w:val="24"/>
                <w:rtl w:val="0"/>
              </w:rPr>
              <w:t xml:space="preserve">“Preparation Strategies for Competitive Exams"</w:t>
            </w:r>
            <w:r w:rsidDel="00000000" w:rsidR="00000000" w:rsidRPr="00000000">
              <w:rPr>
                <w:rFonts w:ascii="Times New Roman" w:cs="Times New Roman" w:eastAsia="Times New Roman" w:hAnsi="Times New Roman"/>
                <w:sz w:val="24"/>
                <w:szCs w:val="24"/>
                <w:rtl w:val="0"/>
              </w:rPr>
              <w:t xml:space="preserve">.</w:t>
            </w:r>
          </w:p>
        </w:tc>
      </w:tr>
      <w:tr>
        <w:trPr>
          <w:cantSplit w:val="0"/>
          <w:trHeight w:val="1040" w:hRule="atLeast"/>
          <w:tblHeader w:val="0"/>
        </w:trPr>
        <w:tc>
          <w:tcPr/>
          <w:p w:rsidR="00000000" w:rsidDel="00000000" w:rsidP="00000000" w:rsidRDefault="00000000" w:rsidRPr="00000000" w14:paraId="0000001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Resource Person Name                                           Designation</w:t>
            </w:r>
          </w:p>
          <w:p w:rsidR="00000000" w:rsidDel="00000000" w:rsidP="00000000" w:rsidRDefault="00000000" w:rsidRPr="00000000" w14:paraId="0000001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Organization Name and address</w:t>
            </w:r>
          </w:p>
        </w:tc>
        <w:tc>
          <w:tcPr/>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Er.Pravin Daitkar</w:t>
              <w:br w:type="textWrapping"/>
              <w:t xml:space="preserve">Assistant Engineer,PWD, </w:t>
            </w:r>
          </w:p>
          <w:p w:rsidR="00000000" w:rsidDel="00000000" w:rsidP="00000000" w:rsidRDefault="00000000" w:rsidRPr="00000000" w14:paraId="00000015">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Shree Ganesh Academy,</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Ashok Stambh, Nashik</w:t>
            </w:r>
          </w:p>
        </w:tc>
      </w:tr>
      <w:tr>
        <w:trPr>
          <w:cantSplit w:val="0"/>
          <w:trHeight w:val="374" w:hRule="atLeast"/>
          <w:tblHeader w:val="0"/>
        </w:trPr>
        <w:tc>
          <w:tcPr/>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Organized by </w:t>
            </w:r>
          </w:p>
        </w:tc>
        <w:tc>
          <w:tcPr/>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Civil Engineering Department</w:t>
            </w:r>
          </w:p>
        </w:tc>
      </w:tr>
      <w:tr>
        <w:trPr>
          <w:cantSplit w:val="0"/>
          <w:trHeight w:val="312" w:hRule="atLeast"/>
          <w:tblHeader w:val="0"/>
        </w:trPr>
        <w:tc>
          <w:tcPr/>
          <w:p w:rsidR="00000000" w:rsidDel="00000000" w:rsidP="00000000" w:rsidRDefault="00000000" w:rsidRPr="00000000" w14:paraId="0000001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Venue</w:t>
            </w:r>
          </w:p>
        </w:tc>
        <w:tc>
          <w:tcPr/>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 hall room no.123</w:t>
            </w:r>
          </w:p>
        </w:tc>
      </w:tr>
      <w:tr>
        <w:trPr>
          <w:cantSplit w:val="0"/>
          <w:trHeight w:val="338" w:hRule="atLeast"/>
          <w:tblHeader w:val="0"/>
        </w:trPr>
        <w:tc>
          <w:tcPr/>
          <w:p w:rsidR="00000000" w:rsidDel="00000000" w:rsidP="00000000" w:rsidRDefault="00000000" w:rsidRPr="00000000" w14:paraId="0000001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&amp; Time</w:t>
            </w:r>
          </w:p>
        </w:tc>
        <w:tc>
          <w:tcPr/>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October 2025, 11.30 am to 01:30 pm</w:t>
            </w:r>
          </w:p>
        </w:tc>
      </w:tr>
      <w:tr>
        <w:trPr>
          <w:cantSplit w:val="0"/>
          <w:trHeight w:val="2195" w:hRule="atLeast"/>
          <w:tblHeader w:val="0"/>
        </w:trPr>
        <w:tc>
          <w:tcPr/>
          <w:p w:rsidR="00000000" w:rsidDel="00000000" w:rsidP="00000000" w:rsidRDefault="00000000" w:rsidRPr="00000000" w14:paraId="0000001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Objectives of the activity</w:t>
            </w:r>
          </w:p>
        </w:tc>
        <w:tc>
          <w:tcPr/>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guide students about various competitive examinations related to civil engineering and general aptitude.</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familiarize students with examination patterns, preparation techniques, and time management strategies.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motivate students to plan their studies systematically for GATE, MPSC, UPSC, and other competitive exams.</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To create awareness among students regarding career opportunities through competitive exams.</w:t>
            </w:r>
          </w:p>
        </w:tc>
      </w:tr>
      <w:tr>
        <w:trPr>
          <w:cantSplit w:val="0"/>
          <w:trHeight w:val="2388" w:hRule="atLeast"/>
          <w:tblHeader w:val="0"/>
        </w:trPr>
        <w:tc>
          <w:tcPr/>
          <w:p w:rsidR="00000000" w:rsidDel="00000000" w:rsidP="00000000" w:rsidRDefault="00000000" w:rsidRPr="00000000" w14:paraId="0000002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Outcomes of activity</w:t>
            </w:r>
          </w:p>
        </w:tc>
        <w:tc>
          <w:tcPr/>
          <w:p w:rsidR="00000000" w:rsidDel="00000000" w:rsidP="00000000" w:rsidRDefault="00000000" w:rsidRPr="00000000" w14:paraId="00000023">
            <w:pPr>
              <w:numPr>
                <w:ilvl w:val="0"/>
                <w:numId w:val="2"/>
              </w:numPr>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gained insights into the structure and syllabus of various competitive exams.</w:t>
            </w:r>
          </w:p>
          <w:p w:rsidR="00000000" w:rsidDel="00000000" w:rsidP="00000000" w:rsidRDefault="00000000" w:rsidRPr="00000000" w14:paraId="00000024">
            <w:pPr>
              <w:numPr>
                <w:ilvl w:val="0"/>
                <w:numId w:val="2"/>
              </w:numPr>
              <w:spacing w:before="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Participants understood effective preparation techniques, including study planning and revision methods.</w:t>
            </w:r>
          </w:p>
          <w:p w:rsidR="00000000" w:rsidDel="00000000" w:rsidP="00000000" w:rsidRDefault="00000000" w:rsidRPr="00000000" w14:paraId="00000025">
            <w:pPr>
              <w:numPr>
                <w:ilvl w:val="0"/>
                <w:numId w:val="2"/>
              </w:numPr>
              <w:spacing w:before="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became aware of the importance of consistent practice and analytical thinking.</w:t>
            </w:r>
          </w:p>
          <w:p w:rsidR="00000000" w:rsidDel="00000000" w:rsidP="00000000" w:rsidRDefault="00000000" w:rsidRPr="00000000" w14:paraId="00000026">
            <w:pPr>
              <w:numPr>
                <w:ilvl w:val="0"/>
                <w:numId w:val="2"/>
              </w:numPr>
              <w:spacing w:before="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session enhanced students’ confidence and motivated them to begin focused preparation for their target exams.</w:t>
            </w:r>
          </w:p>
        </w:tc>
      </w:tr>
      <w:tr>
        <w:trPr>
          <w:cantSplit w:val="0"/>
          <w:trHeight w:val="417" w:hRule="atLeast"/>
          <w:tblHeader w:val="0"/>
        </w:trPr>
        <w:tc>
          <w:tcPr/>
          <w:p w:rsidR="00000000" w:rsidDel="00000000" w:rsidP="00000000" w:rsidRDefault="00000000" w:rsidRPr="00000000" w14:paraId="0000002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Targeted participants</w:t>
            </w:r>
          </w:p>
        </w:tc>
        <w:tc>
          <w:tcPr/>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SE,TE, BE Civil Engineering Students</w:t>
            </w:r>
          </w:p>
        </w:tc>
      </w:tr>
      <w:tr>
        <w:trPr>
          <w:cantSplit w:val="0"/>
          <w:trHeight w:val="417" w:hRule="atLeast"/>
          <w:tblHeader w:val="0"/>
        </w:trPr>
        <w:tc>
          <w:tcPr/>
          <w:p w:rsidR="00000000" w:rsidDel="00000000" w:rsidP="00000000" w:rsidRDefault="00000000" w:rsidRPr="00000000" w14:paraId="0000002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Targeted participants</w:t>
            </w:r>
          </w:p>
        </w:tc>
        <w:tc>
          <w:tcPr/>
          <w:p w:rsidR="00000000" w:rsidDel="00000000" w:rsidP="00000000" w:rsidRDefault="00000000" w:rsidRPr="00000000" w14:paraId="0000002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w:t>
            </w:r>
          </w:p>
        </w:tc>
      </w:tr>
      <w:tr>
        <w:trPr>
          <w:cantSplit w:val="0"/>
          <w:trHeight w:val="417" w:hRule="atLeast"/>
          <w:tblHeader w:val="0"/>
        </w:trPr>
        <w:tc>
          <w:tcPr/>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no. of participants, </w:t>
            </w:r>
          </w:p>
        </w:tc>
        <w:tc>
          <w:tcPr/>
          <w:p w:rsidR="00000000" w:rsidDel="00000000" w:rsidP="00000000" w:rsidRDefault="00000000" w:rsidRPr="00000000" w14:paraId="0000002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w:t>
            </w:r>
          </w:p>
        </w:tc>
      </w:tr>
      <w:tr>
        <w:trPr>
          <w:cantSplit w:val="0"/>
          <w:trHeight w:val="417" w:hRule="atLeast"/>
          <w:tblHeader w:val="0"/>
        </w:trPr>
        <w:tc>
          <w:tcPr/>
          <w:p w:rsidR="00000000" w:rsidDel="00000000" w:rsidP="00000000" w:rsidRDefault="00000000" w:rsidRPr="00000000" w14:paraId="0000002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Participation Percentage</w:t>
            </w:r>
          </w:p>
        </w:tc>
        <w:tc>
          <w:tcPr/>
          <w:p w:rsidR="00000000" w:rsidDel="00000000" w:rsidP="00000000" w:rsidRDefault="00000000" w:rsidRPr="00000000" w14:paraId="0000002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p>
        </w:tc>
      </w:tr>
      <w:tr>
        <w:trPr>
          <w:cantSplit w:val="0"/>
          <w:trHeight w:val="402" w:hRule="atLeast"/>
          <w:tblHeader w:val="0"/>
        </w:trPr>
        <w:tc>
          <w:tcPr/>
          <w:p w:rsidR="00000000" w:rsidDel="00000000" w:rsidP="00000000" w:rsidRDefault="00000000" w:rsidRPr="00000000" w14:paraId="0000002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Content of the activity</w:t>
            </w:r>
          </w:p>
        </w:tc>
        <w:tc>
          <w:tcPr/>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Overview of national and state-level competitive exams (GATE, MPSC, etc.)</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Discussion on syllabus, exam patterns, and weightage analysis.</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Importance of aptitude, reasoning, and technical knowledge in exams.</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Motivational insights and real-life experiences shared by the expert.</w:t>
            </w:r>
          </w:p>
        </w:tc>
      </w:tr>
      <w:tr>
        <w:trPr>
          <w:cantSplit w:val="0"/>
          <w:trHeight w:val="2563" w:hRule="atLeast"/>
          <w:tblHeader w:val="0"/>
        </w:trPr>
        <w:tc>
          <w:tcPr>
            <w:vAlign w:val="center"/>
          </w:tcPr>
          <w:p w:rsidR="00000000" w:rsidDel="00000000" w:rsidP="00000000" w:rsidRDefault="00000000" w:rsidRPr="00000000" w14:paraId="0000003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Relevance to POs </w:t>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PO2:</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Problem analysis – Students learned to analyze and approach problems systematically during exam preparation.</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PO8:</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Individual and teamwork – Encouraged collaborative learning and group preparation for exams.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PO09:</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Communication skills – Enhanced students’ confidence in presenting ideas and answers effectively.</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PO11:</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Life-long learning – Emphasized continuous learning as essential for success in competitive exams and professional growth.</w:t>
            </w:r>
          </w:p>
        </w:tc>
      </w:tr>
      <w:tr>
        <w:trPr>
          <w:cantSplit w:val="0"/>
          <w:trHeight w:val="347" w:hRule="atLeast"/>
          <w:tblHeader w:val="0"/>
        </w:trPr>
        <w:tc>
          <w:tcPr>
            <w:vAlign w:val="center"/>
          </w:tcPr>
          <w:p w:rsidR="00000000" w:rsidDel="00000000" w:rsidP="00000000" w:rsidRDefault="00000000" w:rsidRPr="00000000" w14:paraId="0000003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Relevance to PSOs</w:t>
            </w:r>
          </w:p>
        </w:tc>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PSO1:</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Application of technical knowledge to solve civil engineering problems relevant to competitive exams.</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PSO3:</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Application of design, analysis, and operational concepts through exam-oriented learning.</w:t>
            </w:r>
          </w:p>
        </w:tc>
      </w:tr>
      <w:tr>
        <w:trPr>
          <w:cantSplit w:val="0"/>
          <w:trHeight w:val="648" w:hRule="atLeast"/>
          <w:tblHeader w:val="0"/>
        </w:trPr>
        <w:tc>
          <w:tcPr>
            <w:vAlign w:val="center"/>
          </w:tcPr>
          <w:p w:rsidR="00000000" w:rsidDel="00000000" w:rsidP="00000000" w:rsidRDefault="00000000" w:rsidRPr="00000000" w14:paraId="0000003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Methodology used</w:t>
            </w:r>
          </w:p>
        </w:tc>
        <w:tc>
          <w:tcPr/>
          <w:p w:rsidR="00000000" w:rsidDel="00000000" w:rsidP="00000000" w:rsidRDefault="00000000" w:rsidRPr="00000000" w14:paraId="0000003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jc w:val="both"/>
              <w:rPr>
                <w:rFonts w:ascii="Times New Roman" w:cs="Times New Roman" w:eastAsia="Times New Roman" w:hAnsi="Times New Roman"/>
                <w:sz w:val="24"/>
                <w:szCs w:val="24"/>
              </w:rPr>
            </w:pPr>
            <w:bookmarkStart w:colFirst="0" w:colLast="0" w:name="_heading=h.90lxp42mcgym" w:id="0"/>
            <w:bookmarkEnd w:id="0"/>
            <w:r w:rsidDel="00000000" w:rsidR="00000000" w:rsidRPr="00000000">
              <w:rPr>
                <w:rFonts w:ascii="Times New Roman" w:cs="Times New Roman" w:eastAsia="Times New Roman" w:hAnsi="Times New Roman"/>
                <w:sz w:val="24"/>
                <w:szCs w:val="24"/>
                <w:rtl w:val="0"/>
              </w:rPr>
              <w:t xml:space="preserve">Expert lecture through presentation and visual aids</w:t>
            </w:r>
          </w:p>
          <w:p w:rsidR="00000000" w:rsidDel="00000000" w:rsidP="00000000" w:rsidRDefault="00000000" w:rsidRPr="00000000" w14:paraId="0000003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Interactive discussion  on Preparation for Competitive Exams</w:t>
            </w:r>
          </w:p>
        </w:tc>
      </w:tr>
      <w:tr>
        <w:trPr>
          <w:cantSplit w:val="0"/>
          <w:trHeight w:val="1221" w:hRule="atLeast"/>
          <w:tblHeader w:val="0"/>
        </w:trPr>
        <w:tc>
          <w:tcPr>
            <w:vAlign w:val="center"/>
          </w:tcPr>
          <w:p w:rsidR="00000000" w:rsidDel="00000000" w:rsidP="00000000" w:rsidRDefault="00000000" w:rsidRPr="00000000" w14:paraId="0000004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Brief Description of the Activity</w:t>
            </w:r>
          </w:p>
        </w:tc>
        <w:tc>
          <w:tcPr/>
          <w:p w:rsidR="00000000" w:rsidDel="00000000" w:rsidP="00000000" w:rsidRDefault="00000000" w:rsidRPr="00000000" w14:paraId="0000004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Expert Lecture on “Preparation Strategies for Competitive Exams” was organized on 8th October 2025 for Civil Engineering students. The resource person provided detailed guidance on the preparation methodology for exams like GATE, MPSC,etc.. The session included insights into syllabus analysis, resource planning, and time management. Students actively participated and interacted with the speaker, gaining valuable tips and motivation to pursue their exam goals. The session concluded with a Q&amp;A and feedback from students appreciating the informative and inspiring talk.</w:t>
            </w:r>
          </w:p>
          <w:p w:rsidR="00000000" w:rsidDel="00000000" w:rsidP="00000000" w:rsidRDefault="00000000" w:rsidRPr="00000000" w14:paraId="00000043">
            <w:pPr>
              <w:jc w:val="both"/>
              <w:rPr>
                <w:rFonts w:ascii="Times New Roman" w:cs="Times New Roman" w:eastAsia="Times New Roman" w:hAnsi="Times New Roman"/>
                <w:sz w:val="24"/>
                <w:szCs w:val="24"/>
              </w:rPr>
            </w:pPr>
            <w:r w:rsidDel="00000000" w:rsidR="00000000" w:rsidRPr="00000000">
              <w:rPr>
                <w:rtl w:val="0"/>
              </w:rPr>
            </w:r>
          </w:p>
        </w:tc>
      </w:tr>
      <w:tr>
        <w:trPr>
          <w:cantSplit w:val="0"/>
          <w:trHeight w:val="755" w:hRule="atLeast"/>
          <w:tblHeader w:val="0"/>
        </w:trPr>
        <w:tc>
          <w:tcPr>
            <w:tcBorders>
              <w:bottom w:color="000000" w:space="0" w:sz="4" w:val="single"/>
            </w:tcBorders>
          </w:tcPr>
          <w:p w:rsidR="00000000" w:rsidDel="00000000" w:rsidP="00000000" w:rsidRDefault="00000000" w:rsidRPr="00000000" w14:paraId="0000004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 tag photos of the Activity</w:t>
            </w:r>
          </w:p>
        </w:tc>
        <w:tc>
          <w:tcPr>
            <w:tcBorders>
              <w:bottom w:color="000000" w:space="0" w:sz="4" w:val="single"/>
            </w:tcBorders>
          </w:tcPr>
          <w:p w:rsidR="00000000" w:rsidDel="00000000" w:rsidP="00000000" w:rsidRDefault="00000000" w:rsidRPr="00000000" w14:paraId="0000004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3949773" cy="2961404"/>
                  <wp:effectExtent b="0" l="0" r="0" t="0"/>
                  <wp:docPr descr="D:\Photos of Guest Lecture Pravin Daitkar\IMG-20251008-WA0069.jpg" id="11" name="image4.jpg"/>
                  <a:graphic>
                    <a:graphicData uri="http://schemas.openxmlformats.org/drawingml/2006/picture">
                      <pic:pic>
                        <pic:nvPicPr>
                          <pic:cNvPr descr="D:\Photos of Guest Lecture Pravin Daitkar\IMG-20251008-WA0069.jpg" id="0" name="image4.jpg"/>
                          <pic:cNvPicPr preferRelativeResize="0"/>
                        </pic:nvPicPr>
                        <pic:blipFill>
                          <a:blip r:embed="rId8"/>
                          <a:srcRect b="0" l="0" r="0" t="0"/>
                          <a:stretch>
                            <a:fillRect/>
                          </a:stretch>
                        </pic:blipFill>
                        <pic:spPr>
                          <a:xfrm>
                            <a:off x="0" y="0"/>
                            <a:ext cx="3949773" cy="2961404"/>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3942032" cy="2955600"/>
                  <wp:effectExtent b="0" l="0" r="0" t="0"/>
                  <wp:docPr descr="D:\Photos of Guest Lecture Pravin Daitkar\IMG-20251008-WA0075.jpg" id="10" name="image2.jpg"/>
                  <a:graphic>
                    <a:graphicData uri="http://schemas.openxmlformats.org/drawingml/2006/picture">
                      <pic:pic>
                        <pic:nvPicPr>
                          <pic:cNvPr descr="D:\Photos of Guest Lecture Pravin Daitkar\IMG-20251008-WA0075.jpg" id="0" name="image2.jpg"/>
                          <pic:cNvPicPr preferRelativeResize="0"/>
                        </pic:nvPicPr>
                        <pic:blipFill>
                          <a:blip r:embed="rId9"/>
                          <a:srcRect b="0" l="0" r="0" t="0"/>
                          <a:stretch>
                            <a:fillRect/>
                          </a:stretch>
                        </pic:blipFill>
                        <pic:spPr>
                          <a:xfrm>
                            <a:off x="0" y="0"/>
                            <a:ext cx="3942032" cy="29556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tabs>
                <w:tab w:val="left" w:leader="none" w:pos="2260"/>
                <w:tab w:val="left" w:leader="none" w:pos="5308"/>
              </w:tabs>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49">
            <w:pPr>
              <w:tabs>
                <w:tab w:val="left" w:leader="none" w:pos="2260"/>
                <w:tab w:val="left" w:leader="none" w:pos="5308"/>
              </w:tabs>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3947032" cy="2960273"/>
                  <wp:effectExtent b="0" l="0" r="0" t="0"/>
                  <wp:docPr id="12"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3947032" cy="2960273"/>
                          </a:xfrm>
                          <a:prstGeom prst="rect"/>
                          <a:ln/>
                        </pic:spPr>
                      </pic:pic>
                    </a:graphicData>
                  </a:graphic>
                </wp:inline>
              </w:drawing>
            </w:r>
            <w:r w:rsidDel="00000000" w:rsidR="00000000" w:rsidRPr="00000000">
              <w:rPr>
                <w:rtl w:val="0"/>
              </w:rPr>
            </w:r>
          </w:p>
        </w:tc>
      </w:tr>
      <w:tr>
        <w:trPr>
          <w:cantSplit w:val="0"/>
          <w:trHeight w:val="569" w:hRule="atLeast"/>
          <w:tblHeader w:val="0"/>
        </w:trPr>
        <w:tc>
          <w:tcPr/>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S.S.Bodke</w:t>
            </w:r>
          </w:p>
        </w:tc>
        <w:tc>
          <w:tcPr/>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Activity Co-ordinator</w:t>
            </w:r>
          </w:p>
        </w:tc>
        <w:tc>
          <w:tcPr/>
          <w:p w:rsidR="00000000" w:rsidDel="00000000" w:rsidP="00000000" w:rsidRDefault="00000000" w:rsidRPr="00000000" w14:paraId="0000004C">
            <w:pPr>
              <w:jc w:val="center"/>
              <w:rPr/>
            </w:pPr>
            <w:r w:rsidDel="00000000" w:rsidR="00000000" w:rsidRPr="00000000">
              <w:rPr>
                <w:rtl w:val="0"/>
              </w:rPr>
            </w:r>
          </w:p>
        </w:tc>
      </w:tr>
      <w:tr>
        <w:trPr>
          <w:cantSplit w:val="0"/>
          <w:trHeight w:val="569" w:hRule="atLeast"/>
          <w:tblHeader w:val="0"/>
        </w:trPr>
        <w:tc>
          <w:tcPr/>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M. R. Gupta</w:t>
            </w:r>
          </w:p>
        </w:tc>
        <w:tc>
          <w:tcPr/>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Drive Co-ordinator</w:t>
            </w:r>
          </w:p>
        </w:tc>
        <w:tc>
          <w:tcPr/>
          <w:p w:rsidR="00000000" w:rsidDel="00000000" w:rsidP="00000000" w:rsidRDefault="00000000" w:rsidRPr="00000000" w14:paraId="0000004F">
            <w:pPr>
              <w:jc w:val="center"/>
              <w:rPr/>
            </w:pPr>
            <w:r w:rsidDel="00000000" w:rsidR="00000000" w:rsidRPr="00000000">
              <w:rPr>
                <w:rtl w:val="0"/>
              </w:rPr>
            </w:r>
          </w:p>
        </w:tc>
      </w:tr>
      <w:tr>
        <w:trPr>
          <w:cantSplit w:val="0"/>
          <w:trHeight w:val="549" w:hRule="atLeast"/>
          <w:tblHeader w:val="0"/>
        </w:trPr>
        <w:tc>
          <w:tcPr/>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V. Boraste</w:t>
            </w:r>
          </w:p>
        </w:tc>
        <w:tc>
          <w:tcPr/>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media Co-ordinator</w:t>
            </w:r>
          </w:p>
        </w:tc>
        <w:tc>
          <w:tcPr/>
          <w:p w:rsidR="00000000" w:rsidDel="00000000" w:rsidP="00000000" w:rsidRDefault="00000000" w:rsidRPr="00000000" w14:paraId="00000052">
            <w:pPr>
              <w:jc w:val="center"/>
              <w:rPr/>
            </w:pPr>
            <w:r w:rsidDel="00000000" w:rsidR="00000000" w:rsidRPr="00000000">
              <w:rPr>
                <w:rtl w:val="0"/>
              </w:rPr>
            </w:r>
          </w:p>
        </w:tc>
      </w:tr>
      <w:tr>
        <w:trPr>
          <w:cantSplit w:val="0"/>
          <w:trHeight w:val="557" w:hRule="atLeast"/>
          <w:tblHeader w:val="0"/>
        </w:trPr>
        <w:tc>
          <w:tcPr/>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S. R. Baviskar</w:t>
            </w:r>
          </w:p>
        </w:tc>
        <w:tc>
          <w:tcPr/>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HOD, Civil</w:t>
            </w:r>
          </w:p>
        </w:tc>
        <w:tc>
          <w:tcPr/>
          <w:p w:rsidR="00000000" w:rsidDel="00000000" w:rsidP="00000000" w:rsidRDefault="00000000" w:rsidRPr="00000000" w14:paraId="00000055">
            <w:pPr>
              <w:jc w:val="center"/>
              <w:rPr/>
            </w:pPr>
            <w:r w:rsidDel="00000000" w:rsidR="00000000" w:rsidRPr="00000000">
              <w:rPr>
                <w:rtl w:val="0"/>
              </w:rPr>
            </w:r>
          </w:p>
        </w:tc>
      </w:tr>
      <w:tr>
        <w:trPr>
          <w:cantSplit w:val="0"/>
          <w:trHeight w:val="550" w:hRule="atLeast"/>
          <w:tblHeader w:val="0"/>
        </w:trPr>
        <w:tc>
          <w:tcPr/>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D.B.Pawase</w:t>
            </w:r>
          </w:p>
        </w:tc>
        <w:tc>
          <w:tcPr/>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Training &amp; Placement Officer</w:t>
            </w:r>
          </w:p>
        </w:tc>
        <w:tc>
          <w:tcPr/>
          <w:p w:rsidR="00000000" w:rsidDel="00000000" w:rsidP="00000000" w:rsidRDefault="00000000" w:rsidRPr="00000000" w14:paraId="00000058">
            <w:pPr>
              <w:jc w:val="center"/>
              <w:rPr/>
            </w:pPr>
            <w:r w:rsidDel="00000000" w:rsidR="00000000" w:rsidRPr="00000000">
              <w:rPr>
                <w:rtl w:val="0"/>
              </w:rPr>
            </w:r>
          </w:p>
        </w:tc>
      </w:tr>
      <w:tr>
        <w:trPr>
          <w:cantSplit w:val="0"/>
          <w:trHeight w:val="714" w:hRule="atLeast"/>
          <w:tblHeader w:val="0"/>
        </w:trPr>
        <w:tc>
          <w:tcPr/>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N.V. Kapade</w:t>
            </w:r>
          </w:p>
        </w:tc>
        <w:tc>
          <w:tcPr/>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IQAC, Co-Ordinator</w:t>
            </w:r>
          </w:p>
        </w:tc>
        <w:tc>
          <w:tcPr/>
          <w:p w:rsidR="00000000" w:rsidDel="00000000" w:rsidP="00000000" w:rsidRDefault="00000000" w:rsidRPr="00000000" w14:paraId="0000005B">
            <w:pPr>
              <w:jc w:val="center"/>
              <w:rPr/>
            </w:pPr>
            <w:r w:rsidDel="00000000" w:rsidR="00000000" w:rsidRPr="00000000">
              <w:rPr>
                <w:rtl w:val="0"/>
              </w:rPr>
            </w:r>
          </w:p>
        </w:tc>
      </w:tr>
    </w:tbl>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rPr>
          <w:rFonts w:ascii="Times New Roman" w:cs="Times New Roman" w:eastAsia="Times New Roman" w:hAnsi="Times New Roman"/>
        </w:rPr>
      </w:pPr>
      <w:r w:rsidDel="00000000" w:rsidR="00000000" w:rsidRPr="00000000">
        <w:rPr>
          <w:rtl w:val="0"/>
        </w:rPr>
      </w:r>
    </w:p>
    <w:sectPr>
      <w:pgSz w:h="15840" w:w="12240" w:orient="portrait"/>
      <w:pgMar w:bottom="90" w:top="1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sz w:val="20"/>
        <w:szCs w:val="20"/>
      </w:rPr>
    </w:lvl>
    <w:lvl w:ilvl="1">
      <w:start w:val="1"/>
      <w:numFmt w:val="bullet"/>
      <w:lvlText w:val="o"/>
      <w:lvlJc w:val="left"/>
      <w:pPr>
        <w:ind w:left="1080" w:hanging="360"/>
      </w:pPr>
      <w:rPr>
        <w:rFonts w:ascii="Courier New" w:cs="Courier New" w:eastAsia="Courier New" w:hAnsi="Courier New"/>
        <w:sz w:val="20"/>
        <w:szCs w:val="20"/>
      </w:rPr>
    </w:lvl>
    <w:lvl w:ilvl="2">
      <w:start w:val="1"/>
      <w:numFmt w:val="bullet"/>
      <w:lvlText w:val="▪"/>
      <w:lvlJc w:val="left"/>
      <w:pPr>
        <w:ind w:left="1800" w:hanging="360"/>
      </w:pPr>
      <w:rPr>
        <w:rFonts w:ascii="Noto Sans Symbols" w:cs="Noto Sans Symbols" w:eastAsia="Noto Sans Symbols" w:hAnsi="Noto Sans Symbols"/>
        <w:sz w:val="20"/>
        <w:szCs w:val="20"/>
      </w:rPr>
    </w:lvl>
    <w:lvl w:ilvl="3">
      <w:start w:val="1"/>
      <w:numFmt w:val="bullet"/>
      <w:lvlText w:val="▪"/>
      <w:lvlJc w:val="left"/>
      <w:pPr>
        <w:ind w:left="2520" w:hanging="360"/>
      </w:pPr>
      <w:rPr>
        <w:rFonts w:ascii="Noto Sans Symbols" w:cs="Noto Sans Symbols" w:eastAsia="Noto Sans Symbols" w:hAnsi="Noto Sans Symbols"/>
        <w:sz w:val="20"/>
        <w:szCs w:val="20"/>
      </w:rPr>
    </w:lvl>
    <w:lvl w:ilvl="4">
      <w:start w:val="1"/>
      <w:numFmt w:val="bullet"/>
      <w:lvlText w:val="▪"/>
      <w:lvlJc w:val="left"/>
      <w:pPr>
        <w:ind w:left="3240" w:hanging="360"/>
      </w:pPr>
      <w:rPr>
        <w:rFonts w:ascii="Noto Sans Symbols" w:cs="Noto Sans Symbols" w:eastAsia="Noto Sans Symbols" w:hAnsi="Noto Sans Symbols"/>
        <w:sz w:val="20"/>
        <w:szCs w:val="20"/>
      </w:rPr>
    </w:lvl>
    <w:lvl w:ilvl="5">
      <w:start w:val="1"/>
      <w:numFmt w:val="bullet"/>
      <w:lvlText w:val="▪"/>
      <w:lvlJc w:val="left"/>
      <w:pPr>
        <w:ind w:left="3960" w:hanging="360"/>
      </w:pPr>
      <w:rPr>
        <w:rFonts w:ascii="Noto Sans Symbols" w:cs="Noto Sans Symbols" w:eastAsia="Noto Sans Symbols" w:hAnsi="Noto Sans Symbols"/>
        <w:sz w:val="20"/>
        <w:szCs w:val="20"/>
      </w:rPr>
    </w:lvl>
    <w:lvl w:ilvl="6">
      <w:start w:val="1"/>
      <w:numFmt w:val="bullet"/>
      <w:lvlText w:val="▪"/>
      <w:lvlJc w:val="left"/>
      <w:pPr>
        <w:ind w:left="4680" w:hanging="360"/>
      </w:pPr>
      <w:rPr>
        <w:rFonts w:ascii="Noto Sans Symbols" w:cs="Noto Sans Symbols" w:eastAsia="Noto Sans Symbols" w:hAnsi="Noto Sans Symbols"/>
        <w:sz w:val="20"/>
        <w:szCs w:val="20"/>
      </w:rPr>
    </w:lvl>
    <w:lvl w:ilvl="7">
      <w:start w:val="1"/>
      <w:numFmt w:val="bullet"/>
      <w:lvlText w:val="▪"/>
      <w:lvlJc w:val="left"/>
      <w:pPr>
        <w:ind w:left="5400" w:hanging="360"/>
      </w:pPr>
      <w:rPr>
        <w:rFonts w:ascii="Noto Sans Symbols" w:cs="Noto Sans Symbols" w:eastAsia="Noto Sans Symbols" w:hAnsi="Noto Sans Symbols"/>
        <w:sz w:val="20"/>
        <w:szCs w:val="20"/>
      </w:rPr>
    </w:lvl>
    <w:lvl w:ilvl="8">
      <w:start w:val="1"/>
      <w:numFmt w:val="bullet"/>
      <w:lvlText w:val="▪"/>
      <w:lvlJc w:val="left"/>
      <w:pPr>
        <w:ind w:left="612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7B4E6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7B4E60"/>
    <w:rPr>
      <w:rFonts w:ascii="Tahoma" w:cs="Tahoma" w:hAnsi="Tahoma"/>
      <w:sz w:val="16"/>
      <w:szCs w:val="16"/>
    </w:rPr>
  </w:style>
  <w:style w:type="table" w:styleId="TableGrid">
    <w:name w:val="Table Grid"/>
    <w:basedOn w:val="TableNormal"/>
    <w:uiPriority w:val="59"/>
    <w:rsid w:val="007B4E60"/>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ListParagraph">
    <w:name w:val="List Paragraph"/>
    <w:basedOn w:val="Normal"/>
    <w:uiPriority w:val="34"/>
    <w:qFormat w:val="1"/>
    <w:rsid w:val="007B4E60"/>
    <w:pPr>
      <w:spacing w:after="160" w:line="259" w:lineRule="auto"/>
      <w:ind w:left="720"/>
      <w:contextualSpacing w:val="1"/>
    </w:pPr>
    <w:rPr>
      <w:lang w:val="en-IN"/>
    </w:rPr>
  </w:style>
  <w:style w:type="paragraph" w:styleId="NoSpacing">
    <w:name w:val="No Spacing"/>
    <w:uiPriority w:val="1"/>
    <w:qFormat w:val="1"/>
    <w:rsid w:val="00AF2379"/>
    <w:pPr>
      <w:spacing w:after="0" w:line="240" w:lineRule="auto"/>
    </w:pPr>
    <w:rPr>
      <w:rFonts w:ascii="Calibri" w:cs="Times New Roman" w:eastAsia="Times New Roman" w:hAnsi="Calibri"/>
    </w:rPr>
  </w:style>
  <w:style w:type="paragraph" w:styleId="BodyText">
    <w:name w:val="Body Text"/>
    <w:basedOn w:val="Normal"/>
    <w:link w:val="BodyTextChar"/>
    <w:uiPriority w:val="1"/>
    <w:qFormat w:val="1"/>
    <w:rsid w:val="00AF2379"/>
    <w:pPr>
      <w:widowControl w:val="0"/>
      <w:autoSpaceDE w:val="0"/>
      <w:autoSpaceDN w:val="0"/>
      <w:spacing w:after="0" w:line="240" w:lineRule="auto"/>
    </w:pPr>
    <w:rPr>
      <w:rFonts w:ascii="Times New Roman" w:cs="Times New Roman" w:eastAsia="Times New Roman" w:hAnsi="Times New Roman"/>
      <w:sz w:val="28"/>
      <w:szCs w:val="28"/>
    </w:rPr>
  </w:style>
  <w:style w:type="character" w:styleId="BodyTextChar" w:customStyle="1">
    <w:name w:val="Body Text Char"/>
    <w:basedOn w:val="DefaultParagraphFont"/>
    <w:link w:val="BodyText"/>
    <w:uiPriority w:val="1"/>
    <w:rsid w:val="00AF2379"/>
    <w:rPr>
      <w:rFonts w:ascii="Times New Roman" w:cs="Times New Roman" w:eastAsia="Times New Roman" w:hAnsi="Times New Roman"/>
      <w:sz w:val="28"/>
      <w:szCs w:val="28"/>
    </w:rPr>
  </w:style>
  <w:style w:type="paragraph" w:styleId="NormalWeb">
    <w:name w:val="Normal (Web)"/>
    <w:basedOn w:val="Normal"/>
    <w:uiPriority w:val="99"/>
    <w:unhideWhenUsed w:val="1"/>
    <w:rsid w:val="00502BBB"/>
    <w:pPr>
      <w:spacing w:after="100" w:afterAutospacing="1" w:before="100" w:beforeAutospacing="1" w:line="240" w:lineRule="auto"/>
    </w:pPr>
    <w:rPr>
      <w:rFonts w:ascii="Times New Roman" w:cs="Times New Roman" w:eastAsia="Times New Roman" w:hAnsi="Times New Roman"/>
      <w:sz w:val="24"/>
      <w:szCs w:val="24"/>
      <w:lang w:bidi="mr-IN"/>
    </w:rPr>
  </w:style>
  <w:style w:type="character" w:styleId="Strong">
    <w:name w:val="Strong"/>
    <w:basedOn w:val="DefaultParagraphFont"/>
    <w:uiPriority w:val="22"/>
    <w:qFormat w:val="1"/>
    <w:rsid w:val="00301D78"/>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jpg"/><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mgkJRrNbw1JB1UDgFxrLPHaIKQ==">CgMxLjAyDmguOTBseHA0Mm1jZ3ltOAByITFRc2dJa015M09rR1J6aHJPTlpYSGhJTEJGUWEzWC1QMA==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2025-10-10T08:01:00Z</dcterms:created>
  <dc:creator>Mech_Hod</dc:creator>
</cp:coreProperties>
</file>